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A8FC43" w14:textId="3188497E" w:rsidR="003F3B7E" w:rsidRDefault="00E20FBD"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Solicitamos a esse Egrégio Tribunal de Contas a emissão de certidão para o Município de Américo Brasiliense, que está pleiteando financiamento junto à Desenvolve SP – Agência de Fomento do Estado de São Paulo.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 w:rsidRPr="00E20FBD">
        <w:rPr>
          <w:rFonts w:ascii="Helvetica" w:hAnsi="Helvetica" w:cs="Helvetica"/>
          <w:b/>
          <w:bCs/>
          <w:color w:val="333333"/>
          <w:sz w:val="21"/>
          <w:szCs w:val="21"/>
          <w:shd w:val="clear" w:color="auto" w:fill="FFFFFF"/>
        </w:rPr>
        <w:t>O inciso IV do art. 21 da Resolução nº 43/2001 do Senado Federal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que dispõe sobre operações de crédito de entes da Federação, estabelece que deva ser apresentada certidão expedida por esse Tribunal de Contas atestando o cumprimento de exigências dispostas na </w:t>
      </w:r>
      <w:r w:rsidRPr="00E20FBD">
        <w:rPr>
          <w:rFonts w:ascii="Helvetica" w:hAnsi="Helvetica" w:cs="Helvetica"/>
          <w:b/>
          <w:bCs/>
          <w:color w:val="333333"/>
          <w:sz w:val="21"/>
          <w:szCs w:val="21"/>
          <w:shd w:val="clear" w:color="auto" w:fill="FFFFFF"/>
        </w:rPr>
        <w:t>Lei Complementar nº 101/2000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no que refere: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1. Ao último exercício analisado: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 w:rsidRPr="00E20FBD">
        <w:rPr>
          <w:rFonts w:ascii="Helvetica" w:hAnsi="Helvetica" w:cs="Helvetica"/>
          <w:b/>
          <w:bCs/>
          <w:color w:val="333333"/>
          <w:sz w:val="21"/>
          <w:szCs w:val="21"/>
          <w:shd w:val="clear" w:color="auto" w:fill="FFFFFF"/>
        </w:rPr>
        <w:t>Art.167, III CF/88 ou § 2º do art. 12 da LRF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– regra de ouro. (atestando-se para o ente e não apenas para o executivo, conforme exigência da STN)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 w:rsidRPr="00E20FBD">
        <w:rPr>
          <w:rFonts w:ascii="Helvetica" w:hAnsi="Helvetica" w:cs="Helvetica"/>
          <w:b/>
          <w:bCs/>
          <w:color w:val="333333"/>
          <w:sz w:val="21"/>
          <w:szCs w:val="21"/>
          <w:shd w:val="clear" w:color="auto" w:fill="FFFFFF"/>
        </w:rPr>
        <w:t xml:space="preserve">Art. 23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- com certificação do cumprimento dos limites de despesa de pessoal verificada para os poderes executivo, legislativo (incluindo Tribunal de Contas, se for o caso), informando, inclusive, os respectivos valores monetários e percentuais, em relação à receita corrente líquida, tal como especificado no </w:t>
      </w:r>
      <w:r w:rsidRPr="00E20FBD">
        <w:rPr>
          <w:rFonts w:ascii="Helvetica" w:hAnsi="Helvetica" w:cs="Helvetica"/>
          <w:b/>
          <w:bCs/>
          <w:color w:val="333333"/>
          <w:sz w:val="21"/>
          <w:szCs w:val="21"/>
          <w:shd w:val="clear" w:color="auto" w:fill="FFFFFF"/>
        </w:rPr>
        <w:t>art.20.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 w:rsidRPr="00E20FBD">
        <w:rPr>
          <w:rFonts w:ascii="Helvetica" w:hAnsi="Helvetica" w:cs="Helvetica"/>
          <w:b/>
          <w:bCs/>
          <w:color w:val="333333"/>
          <w:sz w:val="21"/>
          <w:szCs w:val="21"/>
          <w:shd w:val="clear" w:color="auto" w:fill="FFFFFF"/>
        </w:rPr>
        <w:t>Art. 33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– cancelamento de eventuais operações contratuais irregularmente. (atestando-se para o ente e não apenas para o executivo, conforme exigência da STN)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 w:rsidRPr="00E20FBD">
        <w:rPr>
          <w:rFonts w:ascii="Helvetica" w:hAnsi="Helvetica" w:cs="Helvetica"/>
          <w:b/>
          <w:bCs/>
          <w:color w:val="333333"/>
          <w:sz w:val="21"/>
          <w:szCs w:val="21"/>
          <w:shd w:val="clear" w:color="auto" w:fill="FFFFFF"/>
        </w:rPr>
        <w:t>Art. 37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– não realização de operações vedadas. (atestando-se para o ente e não apenas para o executivo, conforme exigência da STN)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 w:rsidRPr="00E20FBD">
        <w:rPr>
          <w:rFonts w:ascii="Helvetica" w:hAnsi="Helvetica" w:cs="Helvetica"/>
          <w:b/>
          <w:bCs/>
          <w:color w:val="333333"/>
          <w:sz w:val="21"/>
          <w:szCs w:val="21"/>
          <w:shd w:val="clear" w:color="auto" w:fill="FFFFFF"/>
        </w:rPr>
        <w:t>Art. 52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– publicação do relatório resumido da execução orçamentária.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 w:rsidRPr="00E20FBD">
        <w:rPr>
          <w:rFonts w:ascii="Helvetica" w:hAnsi="Helvetica" w:cs="Helvetica"/>
          <w:b/>
          <w:bCs/>
          <w:color w:val="333333"/>
          <w:sz w:val="21"/>
          <w:szCs w:val="21"/>
          <w:shd w:val="clear" w:color="auto" w:fill="FFFFFF"/>
        </w:rPr>
        <w:t>§ 2º art. 55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– publicação do relatório de gestão fiscal, inclusive em meio eletrônico.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2. Aos exercícios ainda não analisados, inclusive o exercício corrente: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Art.167, III CF/88 ou § 2º do art. 12 da LRF – regra de ouro. (atestando-se para o ente e não apenas para o executivo, conforme exigência da STN).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Art. 23 - com certificação do cumprimento dos limites de despesa de pessoal verificada para os poderes executivo, legislativo (incluindo Tribunal de Contas, se for o caso), informando, inclusive, os respectivos valores monetários e percentuais, em relação à receita corrente líquida, tal como especificado no art.20.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Art. 52– publicação do relatório resumido da execução orçamentária.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lastRenderedPageBreak/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§ 2º art. 55. – publicação do relatório de gestão fiscal, inclusive em meio eletrônico.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Solicitamos que na verificação do exercício corrente sejam informados todos os períodos abrangidos na análise (especificando os quadrimestres ou semestres para os Art. 23 e § 2º art. 55 e os bimestres para o Art. 52), de acordo com o calendário de publicações da LRF.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Como, de acordo com a STN, a partir de 30 de maio os Munícipios deverão atestar a homologação/finalização do RREO do 2º Bimestre de 2024 e seus anexos, pedimos se seria possível incluir tal análise, em especial no que se refere ao cumprimento ou não do </w:t>
      </w:r>
      <w:r w:rsidRPr="00480C4C">
        <w:rPr>
          <w:rFonts w:ascii="Helvetica" w:hAnsi="Helvetica" w:cs="Helvetica"/>
          <w:b/>
          <w:bCs/>
          <w:color w:val="333333"/>
          <w:sz w:val="21"/>
          <w:szCs w:val="21"/>
          <w:shd w:val="clear" w:color="auto" w:fill="FFFFFF"/>
        </w:rPr>
        <w:t>Art. 167-A da CF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no 2º Bimestre de 2024.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Conforme nova instrução informada pela STN, o atestado dos artigos 12, parágrafo 2º, 33 e 37 devem ser feitos para o ente e não apenas para o executivo.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Solicitamos a esse Egrégio Tribunal de Contas a emissão de certidão para o Município de Colômbia, que está pleiteando financiamento junto à Desenvolve SP – Agência de Fomento do Estado de São Paulo.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O inciso IV do art. 21 da Resolução nº 43/2001 do Senado Federal, que dispõe sobre operações de crédito de entes da Federação, estabelece que deva ser apresentada certidão expedida por esse Tribunal de Contas atestando o cumprimento de exigências dispostas na Lei Complementar nº 101/2000 no que refere: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1. Ao último exercício analisado: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Art.167, III CF/88 ou § 2º do art. 12 da LRF – regra de ouro. (atestando-se para o ente e não apenas para o executivo, conforme exigência da STN)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Art. 23 - com certificação do cumprimento dos limites de despesa de pessoal verificada para os poderes executivo, legislativo (incluindo Tribunal de Contas, se for o caso), informando, inclusive, os respectivos valores monetários e percentuais, em relação à receita corrente líquida, tal como especificado no art.20.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Art. 33 – cancelamento de eventuais operações contratuais irregularmente. (atestando-se para o ente e não apenas para o executivo, conforme exigência da STN)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Art. 37 – não realização de operações vedadas. (atestando-se para o ente e não apenas para o executivo, conforme exigência da STN)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Art. 52 – publicação do relatório resumido da execução orçamentária.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§ 2º art. 55 – publicação do relatório de gestão fiscal, inclusive em meio eletrônico.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lastRenderedPageBreak/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2. Aos exercícios ainda não analisados, inclusive o exercício corrente: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Art.167, III CF/88 ou § 2º do art. 12 da LRF – regra de ouro. (atestando-se para o ente e não apenas para o executivo, conforme exigência da STN).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Art. 23 - com certificação do cumprimento dos limites de despesa de pessoal verificada para os poderes executivo, legislativo (incluindo Tribunal de Contas, se for o caso), informando, inclusive, os respectivos valores monetários e percentuais, em relação à receita corrente líquida, tal como especificado no art.20.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Art. 52– publicação do relatório resumido da execução orçamentária.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§ 2º art. 55. – publicação do relatório de gestão fiscal, inclusive em meio eletrônico.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Solicitamos que na verificação do exercício corrente sejam informados todos os períodos abrangidos na análise (especificando os quadrimestres ou semestres para os Art. 23 e § 2º art. 55 e os bimestres para o Art. 52), de acordo com o calendário de publicações da LRF.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Como, de acordo com a STN, a partir de 30 de maio os Munícipios deverão atestar a homologação/finalização do RREO do 2º Bimestre de 2024 e seus anexos, pedimos se seria possível incluir tal análise, em especial no que se refere ao cumprimento ou não do Art. 167-A da CF no 2º Bimestre de 2024.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Conforme nova instrução informada pela STN, o atestado dos artigos 12, parágrafo 2º, 33 e 37 devem ser feitos para o ente e não apenas para o executivo.</w:t>
      </w:r>
    </w:p>
    <w:sectPr w:rsidR="003F3B7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24F"/>
    <w:rsid w:val="003F3B7E"/>
    <w:rsid w:val="00480C4C"/>
    <w:rsid w:val="00563612"/>
    <w:rsid w:val="00C762E3"/>
    <w:rsid w:val="00E20FBD"/>
    <w:rsid w:val="00E2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A93C8"/>
  <w15:chartTrackingRefBased/>
  <w15:docId w15:val="{CBF4396D-4061-4E0A-9128-63C486022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E262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E262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E262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E262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E262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E262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E262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E262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E262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E262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E262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E262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E2624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E2624F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E2624F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E2624F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E2624F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E2624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E262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E262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E262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E262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E262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E2624F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E2624F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E2624F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E262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E2624F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E2624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902</Words>
  <Characters>4877</Characters>
  <Application>Microsoft Office Word</Application>
  <DocSecurity>0</DocSecurity>
  <Lines>40</Lines>
  <Paragraphs>11</Paragraphs>
  <ScaleCrop>false</ScaleCrop>
  <Company/>
  <LinksUpToDate>false</LinksUpToDate>
  <CharactersWithSpaces>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Billy Rod Guimarães Matias</dc:creator>
  <cp:keywords/>
  <dc:description/>
  <cp:lastModifiedBy>Billy Rod Guimarães Matias</cp:lastModifiedBy>
  <cp:revision>3</cp:revision>
  <dcterms:created xsi:type="dcterms:W3CDTF">2024-07-17T12:27:00Z</dcterms:created>
  <dcterms:modified xsi:type="dcterms:W3CDTF">2024-07-17T12:29:00Z</dcterms:modified>
</cp:coreProperties>
</file>